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F9" w:rsidRDefault="00D66277" w:rsidP="008016F9">
      <w:pPr>
        <w:pStyle w:val="1"/>
        <w:pBdr>
          <w:top w:val="single" w:sz="0" w:space="3" w:color="E6E5F5"/>
          <w:left w:val="single" w:sz="0" w:space="0" w:color="E6E5F5"/>
          <w:bottom w:val="single" w:sz="0" w:space="4" w:color="E6E5F5"/>
          <w:right w:val="single" w:sz="0" w:space="0" w:color="E6E5F5"/>
        </w:pBdr>
        <w:shd w:val="clear" w:color="auto" w:fill="E6E5F5"/>
        <w:ind w:left="641" w:hanging="482"/>
        <w:jc w:val="center"/>
        <w:rPr>
          <w:b/>
          <w:bCs/>
          <w:i w:val="0"/>
          <w:iCs w:val="0"/>
        </w:rPr>
      </w:pPr>
      <w:r>
        <w:rPr>
          <w:b/>
          <w:bCs/>
          <w:i w:val="0"/>
          <w:iCs w:val="0"/>
          <w:color w:val="auto"/>
        </w:rPr>
        <w:t>Численность и к</w:t>
      </w:r>
      <w:r w:rsidR="003A656B" w:rsidRPr="00A103A8">
        <w:rPr>
          <w:b/>
          <w:bCs/>
          <w:i w:val="0"/>
          <w:iCs w:val="0"/>
          <w:color w:val="auto"/>
        </w:rPr>
        <w:t>адровый</w:t>
      </w:r>
      <w:r w:rsidR="003A656B">
        <w:rPr>
          <w:b/>
          <w:bCs/>
          <w:i w:val="0"/>
          <w:iCs w:val="0"/>
        </w:rPr>
        <w:t xml:space="preserve"> </w:t>
      </w:r>
      <w:r w:rsidR="00FB7C26">
        <w:rPr>
          <w:b/>
          <w:bCs/>
          <w:i w:val="0"/>
          <w:iCs w:val="0"/>
        </w:rPr>
        <w:t xml:space="preserve">состав работников, замещавших </w:t>
      </w:r>
    </w:p>
    <w:p w:rsidR="00D605CA" w:rsidRDefault="008016F9" w:rsidP="008016F9">
      <w:pPr>
        <w:pStyle w:val="1"/>
        <w:pBdr>
          <w:top w:val="single" w:sz="0" w:space="3" w:color="E6E5F5"/>
          <w:left w:val="single" w:sz="0" w:space="0" w:color="E6E5F5"/>
          <w:bottom w:val="single" w:sz="0" w:space="4" w:color="E6E5F5"/>
          <w:right w:val="single" w:sz="0" w:space="0" w:color="E6E5F5"/>
        </w:pBdr>
        <w:shd w:val="clear" w:color="auto" w:fill="E6E5F5"/>
        <w:ind w:left="641" w:hanging="482"/>
        <w:jc w:val="center"/>
      </w:pPr>
      <w:r>
        <w:rPr>
          <w:b/>
          <w:bCs/>
          <w:i w:val="0"/>
          <w:iCs w:val="0"/>
        </w:rPr>
        <w:t xml:space="preserve">государственные (муниципальные) должности </w:t>
      </w:r>
      <w:r>
        <w:rPr>
          <w:b/>
          <w:bCs/>
          <w:i w:val="0"/>
          <w:iCs w:val="0"/>
        </w:rPr>
        <w:br/>
        <w:t xml:space="preserve">и </w:t>
      </w:r>
      <w:r w:rsidR="00FB7C26">
        <w:rPr>
          <w:b/>
          <w:bCs/>
          <w:i w:val="0"/>
          <w:iCs w:val="0"/>
        </w:rPr>
        <w:t xml:space="preserve">должности государственной гражданской </w:t>
      </w:r>
      <w:r>
        <w:rPr>
          <w:b/>
          <w:bCs/>
          <w:i w:val="0"/>
          <w:iCs w:val="0"/>
        </w:rPr>
        <w:t>(</w:t>
      </w:r>
      <w:r w:rsidR="00FB7C26">
        <w:rPr>
          <w:b/>
          <w:bCs/>
          <w:i w:val="0"/>
          <w:iCs w:val="0"/>
        </w:rPr>
        <w:t>муниципальной</w:t>
      </w:r>
      <w:r>
        <w:rPr>
          <w:b/>
          <w:bCs/>
          <w:i w:val="0"/>
          <w:iCs w:val="0"/>
        </w:rPr>
        <w:t>)</w:t>
      </w:r>
      <w:r w:rsidR="00FB7C26">
        <w:rPr>
          <w:b/>
          <w:bCs/>
          <w:i w:val="0"/>
          <w:iCs w:val="0"/>
        </w:rPr>
        <w:t xml:space="preserve"> службы</w:t>
      </w:r>
    </w:p>
    <w:p w:rsidR="00D605CA" w:rsidRDefault="00FB7C26">
      <w:pPr>
        <w:pStyle w:val="1"/>
        <w:jc w:val="center"/>
      </w:pPr>
      <w:r>
        <w:rPr>
          <w:b/>
          <w:bCs/>
          <w:i w:val="0"/>
          <w:iCs w:val="0"/>
        </w:rPr>
        <w:t>Основные понятия</w:t>
      </w:r>
    </w:p>
    <w:p w:rsidR="00D605CA" w:rsidRDefault="00FB7C26" w:rsidP="003A656B">
      <w:pPr>
        <w:pStyle w:val="1"/>
        <w:ind w:firstLine="709"/>
        <w:jc w:val="both"/>
      </w:pPr>
      <w:r>
        <w:t xml:space="preserve">Информация </w:t>
      </w:r>
      <w:r>
        <w:rPr>
          <w:b/>
          <w:bCs/>
        </w:rPr>
        <w:t xml:space="preserve">о </w:t>
      </w:r>
      <w:r w:rsidR="009C5771">
        <w:rPr>
          <w:b/>
          <w:bCs/>
        </w:rPr>
        <w:t xml:space="preserve">численности и </w:t>
      </w:r>
      <w:bookmarkStart w:id="0" w:name="_GoBack"/>
      <w:bookmarkEnd w:id="0"/>
      <w:r w:rsidR="003A656B">
        <w:rPr>
          <w:b/>
          <w:bCs/>
        </w:rPr>
        <w:t xml:space="preserve">кадровом </w:t>
      </w:r>
      <w:r>
        <w:rPr>
          <w:b/>
          <w:bCs/>
        </w:rPr>
        <w:t>составе работников, замещавших государственные (муниципальные) должности и должности государственной гражданской (муниципальной) службы</w:t>
      </w:r>
      <w:r>
        <w:t>, по</w:t>
      </w:r>
      <w:r w:rsidR="003A656B">
        <w:t>дготовлена по итогам федерального статистического наблюдения за 2022 год.</w:t>
      </w:r>
    </w:p>
    <w:p w:rsidR="00D605CA" w:rsidRDefault="00FB7C26" w:rsidP="003A656B">
      <w:pPr>
        <w:pStyle w:val="1"/>
        <w:ind w:firstLine="709"/>
        <w:jc w:val="both"/>
      </w:pPr>
      <w:proofErr w:type="gramStart"/>
      <w:r>
        <w:t>Данные о составе работников, замещавших должности государственной гражданской и муниципальной службы, представлены по кругу государственных (федеральных и субъектов Российской Федерации) и муниципальных органов, в которых на дату учета была введена государственная гражданская и муниципальная служба, в соответствии с Федеральным Законом от 27.07.04 № 79-ФЗ "О государственной гражданской службе Российской Федерации", в соответствии с Федеральным Законом от 02.03.07 № 25-ФЗ "О муниципальной службе</w:t>
      </w:r>
      <w:proofErr w:type="gramEnd"/>
      <w:r>
        <w:t xml:space="preserve"> в Российской Федерации". Данные по федеральным органам исполнительной власти приведены с учетом сведений о гражданских служащих центральных аппаратов Министерства внутренних дел Российской Федерации, Министерства обороны Российской Федерации, других органов, обеспечивающих правопорядок и охрану безопасности государства.</w:t>
      </w:r>
    </w:p>
    <w:p w:rsidR="00D605CA" w:rsidRDefault="00FB7C26" w:rsidP="003A656B">
      <w:pPr>
        <w:pStyle w:val="1"/>
        <w:ind w:firstLine="709"/>
        <w:jc w:val="both"/>
      </w:pPr>
      <w:proofErr w:type="gramStart"/>
      <w:r>
        <w:t xml:space="preserve">На должностях категории </w:t>
      </w:r>
      <w:r>
        <w:rPr>
          <w:b/>
          <w:bCs/>
        </w:rPr>
        <w:t>государственные должности Российской Федерации</w:t>
      </w:r>
      <w:r w:rsidR="006269F2">
        <w:rPr>
          <w:b/>
          <w:bCs/>
        </w:rPr>
        <w:t>, субъектов Российской Федерации</w:t>
      </w:r>
      <w:r>
        <w:rPr>
          <w:b/>
          <w:bCs/>
        </w:rPr>
        <w:t xml:space="preserve"> </w:t>
      </w:r>
      <w:r>
        <w:t>в соответствии с Указом Президента Российской Федерации от 11.01.95 № 32 "О государственных должностях Российской Федерации" учтены лица, замещавшие государственные должности, установленные Конституцией Российской Федерации, федеральными законами (федеральные государственные должности), конституциями, уставами субъектов Российской Федерации (государственные должности субъектов Российской Федерации) для непосредственного исполнения полномочий государственных органов.</w:t>
      </w:r>
      <w:proofErr w:type="gramEnd"/>
      <w:r>
        <w:t xml:space="preserve"> Это должности руководителей (первых лиц) высших государственных органов Российской Федерации и государственных органов субъектов Российской Федерации (по органам законодательной власти - должности председателей палат, комитетов (комиссий) палат Федерального Собрания Российской Федерации и их заместителей, членов комитетов (комиссий) палат Федерального Собрания Российской Федерации, аналогичные должности в законодательных органах субъектов Российской Федерации; по органам исполнительной власти - должности федеральных министров, руководителей высших исполнительных органов субъектов Российской Федерации; по органам судебной власти и прокуратуры - должности председателей судов всех уровней и их заместителей, Генерального прокурора Российской Федерации, судей; по другим государственным органам - должности председателей и их заместителей Счетной палаты и Центральной избирательной комиссии Российской Федерации, Уполномоченного по правам человека, аудиторов Счетной палаты Российской Федерации, членов Центральной избирательной комиссии Российской Федерации (на постоянной основе), аналогичные должности в государственных органах субъектов Российской Федерации и другие должности).</w:t>
      </w:r>
    </w:p>
    <w:p w:rsidR="00D605CA" w:rsidRDefault="00FB7C26" w:rsidP="003A656B">
      <w:pPr>
        <w:pStyle w:val="1"/>
        <w:tabs>
          <w:tab w:val="left" w:pos="6372"/>
        </w:tabs>
        <w:ind w:firstLine="709"/>
        <w:jc w:val="both"/>
      </w:pPr>
      <w:proofErr w:type="gramStart"/>
      <w:r>
        <w:t xml:space="preserve">Разработка сведений о составе работников, </w:t>
      </w:r>
      <w:r>
        <w:rPr>
          <w:b/>
          <w:bCs/>
        </w:rPr>
        <w:t>замещавших должности государственной гражданской службы</w:t>
      </w:r>
      <w:r>
        <w:t>, осуществлялась по категориям и группам должностей в соответствии с Федеральным законом от 27.07.04 №</w:t>
      </w:r>
      <w:r w:rsidR="003A656B">
        <w:t xml:space="preserve"> </w:t>
      </w:r>
      <w:r>
        <w:t>79-ФЗ "О государственной</w:t>
      </w:r>
      <w:r w:rsidR="003A656B">
        <w:t xml:space="preserve"> </w:t>
      </w:r>
      <w:r>
        <w:t>гражданской службе Российской Федерации" и Реестром должностей Федеральной гражданской службы, утвержденным Указом Президента Российской Федерации от 31 декабря 2005 г. № 1574, а также реестрами (перечнями) должностей гражданской службы субъектов Российской Федерации, утвержденными соответствующими нормативными</w:t>
      </w:r>
      <w:proofErr w:type="gramEnd"/>
      <w:r>
        <w:t xml:space="preserve"> правовыми актами субъектов Российской Федерации.</w:t>
      </w:r>
    </w:p>
    <w:p w:rsidR="00D605CA" w:rsidRDefault="00FB7C26" w:rsidP="001E36BA">
      <w:pPr>
        <w:widowControl/>
        <w:autoSpaceDE w:val="0"/>
        <w:autoSpaceDN w:val="0"/>
        <w:adjustRightInd w:val="0"/>
        <w:ind w:firstLine="709"/>
        <w:jc w:val="both"/>
      </w:pPr>
      <w:proofErr w:type="gramStart"/>
      <w:r w:rsidRPr="004C564B">
        <w:rPr>
          <w:rFonts w:ascii="Times New Roman" w:eastAsia="Times New Roman" w:hAnsi="Times New Roman" w:cs="Times New Roman"/>
          <w:i/>
          <w:iCs/>
        </w:rPr>
        <w:lastRenderedPageBreak/>
        <w:t>На должностях категории "руководители" учтены лица, замещавшие должности руководителей и заместителей руководителей государственных органов и их структурных подразделений</w:t>
      </w:r>
      <w:r w:rsidR="004C564B" w:rsidRPr="004C564B">
        <w:rPr>
          <w:rFonts w:ascii="Times New Roman" w:eastAsia="Times New Roman" w:hAnsi="Times New Roman" w:cs="Times New Roman"/>
          <w:i/>
          <w:iCs/>
        </w:rPr>
        <w:t>,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w:t>
      </w:r>
      <w:r w:rsidR="001E36BA">
        <w:rPr>
          <w:rFonts w:ascii="Times New Roman" w:eastAsia="Times New Roman" w:hAnsi="Times New Roman" w:cs="Times New Roman"/>
          <w:i/>
          <w:iCs/>
        </w:rPr>
        <w:t xml:space="preserve">, </w:t>
      </w:r>
      <w:r w:rsidR="001E36BA">
        <w:rPr>
          <w:rFonts w:ascii="Times New Roman" w:hAnsi="Times New Roman" w:cs="Times New Roman"/>
          <w:i/>
          <w:iCs/>
          <w:color w:val="auto"/>
          <w:lang w:bidi="ar-SA"/>
        </w:rPr>
        <w:t>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1E36BA" w:rsidRDefault="00FB7C26" w:rsidP="001E36BA">
      <w:pPr>
        <w:widowControl/>
        <w:autoSpaceDE w:val="0"/>
        <w:autoSpaceDN w:val="0"/>
        <w:adjustRightInd w:val="0"/>
        <w:ind w:firstLine="709"/>
        <w:jc w:val="both"/>
        <w:rPr>
          <w:rFonts w:ascii="Times New Roman" w:hAnsi="Times New Roman" w:cs="Times New Roman"/>
          <w:i/>
          <w:iCs/>
          <w:color w:val="auto"/>
          <w:lang w:bidi="ar-SA"/>
        </w:rPr>
      </w:pPr>
      <w:r w:rsidRPr="001E36BA">
        <w:rPr>
          <w:rFonts w:ascii="Times New Roman" w:eastAsia="Times New Roman" w:hAnsi="Times New Roman" w:cs="Times New Roman"/>
          <w:i/>
          <w:iCs/>
        </w:rPr>
        <w:t xml:space="preserve">На должностях категории "помощники (советники)" учтены лица, замещавшие должности, учреждаемые для содействия лицам, замещающим </w:t>
      </w:r>
      <w:r w:rsidR="00A34283" w:rsidRPr="001E36BA">
        <w:rPr>
          <w:rFonts w:ascii="Times New Roman" w:eastAsia="Times New Roman" w:hAnsi="Times New Roman" w:cs="Times New Roman"/>
          <w:i/>
          <w:iCs/>
        </w:rPr>
        <w:t xml:space="preserve">государственные должности, руководителям государственных органов, руководителям территориальных органов федеральных органов исполнительной власти </w:t>
      </w:r>
      <w:r w:rsidR="001E36BA" w:rsidRPr="001E36BA">
        <w:rPr>
          <w:rFonts w:ascii="Times New Roman" w:eastAsia="Times New Roman" w:hAnsi="Times New Roman" w:cs="Times New Roman"/>
          <w:i/>
          <w:iCs/>
        </w:rPr>
        <w:t>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r w:rsidR="001E36BA">
        <w:rPr>
          <w:rFonts w:ascii="Times New Roman" w:hAnsi="Times New Roman" w:cs="Times New Roman"/>
          <w:i/>
          <w:iCs/>
          <w:color w:val="auto"/>
          <w:lang w:bidi="ar-SA"/>
        </w:rPr>
        <w:t>.</w:t>
      </w:r>
    </w:p>
    <w:p w:rsidR="00A34283" w:rsidRDefault="00FB7C26" w:rsidP="00284064">
      <w:pPr>
        <w:pStyle w:val="1"/>
        <w:ind w:firstLine="709"/>
        <w:jc w:val="both"/>
      </w:pPr>
      <w:r>
        <w:t>На должностях категории "специалисты" учтены лица, замещавшие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r w:rsidR="00A34283">
        <w:t>.</w:t>
      </w:r>
    </w:p>
    <w:p w:rsidR="00D605CA" w:rsidRDefault="00FB7C26" w:rsidP="00EB00C6">
      <w:pPr>
        <w:pStyle w:val="1"/>
        <w:ind w:firstLine="709"/>
        <w:jc w:val="both"/>
      </w:pPr>
      <w:r>
        <w:t>На должностях категории "обеспечивающие специалисты" учтены лица, замещавшие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D605CA" w:rsidRDefault="00FB7C26" w:rsidP="00EB00C6">
      <w:pPr>
        <w:pStyle w:val="1"/>
        <w:ind w:firstLine="709"/>
        <w:jc w:val="both"/>
      </w:pPr>
      <w:proofErr w:type="gramStart"/>
      <w:r>
        <w:t xml:space="preserve">На </w:t>
      </w:r>
      <w:r>
        <w:rPr>
          <w:b/>
          <w:bCs/>
        </w:rPr>
        <w:t xml:space="preserve">муниципальных должностях </w:t>
      </w:r>
      <w:r>
        <w:t>учтены лица, замещавшие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w:t>
      </w:r>
      <w:r w:rsidR="00284064">
        <w:t>ицами, с правом решающего голоса, работающие в комиссии на постоянной (штатной) основе, председатели, заместители председателя, аудиторы контроль-счетного органа муниципального образования.</w:t>
      </w:r>
      <w:proofErr w:type="gramEnd"/>
    </w:p>
    <w:p w:rsidR="00D605CA" w:rsidRDefault="00FB7C26" w:rsidP="00EB00C6">
      <w:pPr>
        <w:pStyle w:val="1"/>
        <w:spacing w:after="208"/>
        <w:ind w:firstLine="709"/>
        <w:jc w:val="both"/>
      </w:pPr>
      <w:r>
        <w:rPr>
          <w:b/>
          <w:bCs/>
        </w:rPr>
        <w:t xml:space="preserve">Должности муниципальной службы </w:t>
      </w:r>
      <w:r>
        <w:t xml:space="preserve">- это должности в органе местного самоуправления, аппарате избирательной комиссии муниципального образования, которые </w:t>
      </w:r>
      <w:r w:rsidR="00284064">
        <w:t xml:space="preserve">образуются в соответствии с уставом муниципального образования </w:t>
      </w:r>
      <w:r>
        <w:t xml:space="preserve">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r w:rsidR="00E942EC">
        <w:t xml:space="preserve">Должности муниципальной службы устанавливаются муниципальными правовыми актами в соответствии с реестрами должностей муниципальной службы в субъектах Российской Федерации, утверждаемыми законами субъектов Российской Федерации. </w:t>
      </w:r>
      <w:r>
        <w:t>На должностях муниципальной службы, учитывались лица, замещавшие должности муниципальной службы путем заключения трудового договора (должности руководителей муниципальных органов и структурных подразделений этих органов, их заместителей и специалистов всех категорий).</w:t>
      </w:r>
    </w:p>
    <w:p w:rsidR="00D605CA" w:rsidRDefault="00FB7C26">
      <w:pPr>
        <w:pStyle w:val="1"/>
        <w:pBdr>
          <w:top w:val="single" w:sz="0" w:space="10" w:color="E6E5F5"/>
          <w:left w:val="single" w:sz="0" w:space="0" w:color="E6E5F5"/>
          <w:bottom w:val="single" w:sz="0" w:space="10" w:color="E6E5F5"/>
          <w:right w:val="single" w:sz="0" w:space="0" w:color="E6E5F5"/>
        </w:pBdr>
        <w:shd w:val="clear" w:color="auto" w:fill="E6E5F5"/>
        <w:spacing w:after="548"/>
        <w:ind w:firstLine="260"/>
        <w:jc w:val="both"/>
      </w:pPr>
      <w:r>
        <w:rPr>
          <w:b/>
          <w:bCs/>
          <w:i w:val="0"/>
          <w:iCs w:val="0"/>
          <w:color w:val="845B0C"/>
        </w:rPr>
        <w:t xml:space="preserve">1 </w:t>
      </w:r>
      <w:r>
        <w:rPr>
          <w:b/>
          <w:bCs/>
          <w:i w:val="0"/>
          <w:iCs w:val="0"/>
        </w:rPr>
        <w:t>Источники и контакты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0"/>
        <w:gridCol w:w="4800"/>
      </w:tblGrid>
      <w:tr w:rsidR="00D605CA" w:rsidTr="005516D5">
        <w:trPr>
          <w:trHeight w:hRule="exact" w:val="571"/>
          <w:jc w:val="center"/>
        </w:trPr>
        <w:tc>
          <w:tcPr>
            <w:tcW w:w="4090" w:type="dxa"/>
            <w:tcBorders>
              <w:top w:val="single" w:sz="4" w:space="0" w:color="auto"/>
              <w:left w:val="single" w:sz="4" w:space="0" w:color="auto"/>
              <w:bottom w:val="single" w:sz="4" w:space="0" w:color="auto"/>
              <w:right w:val="single" w:sz="4" w:space="0" w:color="auto"/>
            </w:tcBorders>
            <w:shd w:val="clear" w:color="auto" w:fill="E3E3E3"/>
            <w:vAlign w:val="center"/>
          </w:tcPr>
          <w:p w:rsidR="00D605CA" w:rsidRDefault="00FB7C26">
            <w:pPr>
              <w:pStyle w:val="a5"/>
            </w:pPr>
            <w:r>
              <w:rPr>
                <w:b/>
                <w:bCs/>
              </w:rPr>
              <w:t>Источник</w:t>
            </w:r>
          </w:p>
        </w:tc>
        <w:tc>
          <w:tcPr>
            <w:tcW w:w="4800" w:type="dxa"/>
            <w:tcBorders>
              <w:top w:val="single" w:sz="4" w:space="0" w:color="auto"/>
              <w:left w:val="single" w:sz="4" w:space="0" w:color="auto"/>
              <w:bottom w:val="single" w:sz="4" w:space="0" w:color="auto"/>
              <w:right w:val="single" w:sz="4" w:space="0" w:color="auto"/>
            </w:tcBorders>
            <w:shd w:val="clear" w:color="auto" w:fill="E3E3E3"/>
          </w:tcPr>
          <w:p w:rsidR="00D605CA" w:rsidRDefault="00FB7C26">
            <w:pPr>
              <w:pStyle w:val="a5"/>
            </w:pPr>
            <w:r>
              <w:rPr>
                <w:i w:val="0"/>
                <w:iCs w:val="0"/>
              </w:rPr>
              <w:t>Формы статистического наблюдения</w:t>
            </w:r>
          </w:p>
          <w:p w:rsidR="00D605CA" w:rsidRDefault="00FB7C26">
            <w:pPr>
              <w:pStyle w:val="a5"/>
            </w:pPr>
            <w:r>
              <w:rPr>
                <w:b/>
                <w:bCs/>
                <w:i w:val="0"/>
                <w:iCs w:val="0"/>
              </w:rPr>
              <w:t>№ 1-</w:t>
            </w:r>
            <w:proofErr w:type="gramStart"/>
            <w:r w:rsidR="007B22E0">
              <w:rPr>
                <w:b/>
                <w:bCs/>
                <w:i w:val="0"/>
                <w:iCs w:val="0"/>
              </w:rPr>
              <w:t>Т(</w:t>
            </w:r>
            <w:proofErr w:type="gramEnd"/>
            <w:r>
              <w:rPr>
                <w:b/>
                <w:bCs/>
                <w:i w:val="0"/>
                <w:iCs w:val="0"/>
              </w:rPr>
              <w:t>ГС</w:t>
            </w:r>
            <w:r w:rsidR="007B22E0">
              <w:rPr>
                <w:b/>
                <w:bCs/>
                <w:i w:val="0"/>
                <w:iCs w:val="0"/>
              </w:rPr>
              <w:t>)</w:t>
            </w:r>
            <w:r>
              <w:rPr>
                <w:b/>
                <w:bCs/>
                <w:i w:val="0"/>
                <w:iCs w:val="0"/>
              </w:rPr>
              <w:t>, № 1-</w:t>
            </w:r>
            <w:r w:rsidR="007B22E0">
              <w:rPr>
                <w:b/>
                <w:bCs/>
                <w:i w:val="0"/>
                <w:iCs w:val="0"/>
              </w:rPr>
              <w:t>Т(</w:t>
            </w:r>
            <w:r>
              <w:rPr>
                <w:b/>
                <w:bCs/>
                <w:i w:val="0"/>
                <w:iCs w:val="0"/>
              </w:rPr>
              <w:t>МС</w:t>
            </w:r>
            <w:r w:rsidR="007B22E0">
              <w:rPr>
                <w:b/>
                <w:bCs/>
                <w:i w:val="0"/>
                <w:iCs w:val="0"/>
              </w:rPr>
              <w:t>)</w:t>
            </w:r>
          </w:p>
        </w:tc>
      </w:tr>
      <w:tr w:rsidR="00D605CA" w:rsidTr="005516D5">
        <w:trPr>
          <w:trHeight w:hRule="exact" w:val="346"/>
          <w:jc w:val="center"/>
        </w:trPr>
        <w:tc>
          <w:tcPr>
            <w:tcW w:w="4090" w:type="dxa"/>
            <w:tcBorders>
              <w:top w:val="single" w:sz="4" w:space="0" w:color="auto"/>
              <w:left w:val="single" w:sz="4" w:space="0" w:color="auto"/>
              <w:bottom w:val="single" w:sz="4" w:space="0" w:color="auto"/>
            </w:tcBorders>
            <w:shd w:val="clear" w:color="auto" w:fill="FFFFFF"/>
            <w:vAlign w:val="bottom"/>
          </w:tcPr>
          <w:p w:rsidR="00D605CA" w:rsidRDefault="00893012">
            <w:pPr>
              <w:pStyle w:val="a5"/>
            </w:pPr>
            <w:r>
              <w:rPr>
                <w:b/>
                <w:bCs/>
              </w:rPr>
              <w:t>Периоди</w:t>
            </w:r>
            <w:r w:rsidR="00FB7C26">
              <w:rPr>
                <w:b/>
                <w:bCs/>
              </w:rPr>
              <w:t>чность</w:t>
            </w:r>
          </w:p>
        </w:tc>
        <w:tc>
          <w:tcPr>
            <w:tcW w:w="4800" w:type="dxa"/>
            <w:tcBorders>
              <w:top w:val="single" w:sz="4" w:space="0" w:color="auto"/>
              <w:left w:val="single" w:sz="4" w:space="0" w:color="auto"/>
              <w:bottom w:val="single" w:sz="4" w:space="0" w:color="auto"/>
              <w:right w:val="single" w:sz="4" w:space="0" w:color="auto"/>
            </w:tcBorders>
            <w:shd w:val="clear" w:color="auto" w:fill="FFFFFF"/>
            <w:vAlign w:val="bottom"/>
          </w:tcPr>
          <w:p w:rsidR="00D605CA" w:rsidRDefault="00FB7C26">
            <w:pPr>
              <w:pStyle w:val="a5"/>
            </w:pPr>
            <w:r>
              <w:rPr>
                <w:b/>
                <w:bCs/>
              </w:rPr>
              <w:t>1 раз в 3 года</w:t>
            </w:r>
          </w:p>
        </w:tc>
      </w:tr>
      <w:tr w:rsidR="00D605CA" w:rsidTr="005516D5">
        <w:trPr>
          <w:trHeight w:hRule="exact" w:val="629"/>
          <w:jc w:val="center"/>
        </w:trPr>
        <w:tc>
          <w:tcPr>
            <w:tcW w:w="4090" w:type="dxa"/>
            <w:tcBorders>
              <w:top w:val="single" w:sz="4" w:space="0" w:color="auto"/>
              <w:left w:val="single" w:sz="4" w:space="0" w:color="auto"/>
              <w:bottom w:val="single" w:sz="4" w:space="0" w:color="auto"/>
              <w:right w:val="single" w:sz="4" w:space="0" w:color="auto"/>
            </w:tcBorders>
            <w:shd w:val="clear" w:color="auto" w:fill="E3E3E3"/>
            <w:vAlign w:val="center"/>
          </w:tcPr>
          <w:p w:rsidR="00D605CA" w:rsidRDefault="00FB7C26">
            <w:pPr>
              <w:pStyle w:val="a5"/>
            </w:pPr>
            <w:r>
              <w:rPr>
                <w:b/>
                <w:bCs/>
              </w:rPr>
              <w:t>Сроки обновления на сайте</w:t>
            </w:r>
          </w:p>
        </w:tc>
        <w:tc>
          <w:tcPr>
            <w:tcW w:w="4800" w:type="dxa"/>
            <w:tcBorders>
              <w:top w:val="single" w:sz="4" w:space="0" w:color="auto"/>
              <w:left w:val="single" w:sz="4" w:space="0" w:color="auto"/>
              <w:bottom w:val="single" w:sz="4" w:space="0" w:color="auto"/>
              <w:right w:val="single" w:sz="4" w:space="0" w:color="auto"/>
            </w:tcBorders>
            <w:shd w:val="clear" w:color="auto" w:fill="E3E3E3"/>
            <w:vAlign w:val="bottom"/>
          </w:tcPr>
          <w:p w:rsidR="00D605CA" w:rsidRDefault="007B22E0">
            <w:pPr>
              <w:pStyle w:val="a5"/>
            </w:pPr>
            <w:r>
              <w:rPr>
                <w:b/>
                <w:bCs/>
              </w:rPr>
              <w:t>30 декабря</w:t>
            </w:r>
          </w:p>
        </w:tc>
      </w:tr>
      <w:tr w:rsidR="00D605CA" w:rsidTr="005516D5">
        <w:trPr>
          <w:trHeight w:hRule="exact" w:val="912"/>
          <w:jc w:val="center"/>
        </w:trPr>
        <w:tc>
          <w:tcPr>
            <w:tcW w:w="4090" w:type="dxa"/>
            <w:tcBorders>
              <w:top w:val="single" w:sz="4" w:space="0" w:color="auto"/>
              <w:left w:val="single" w:sz="4" w:space="0" w:color="auto"/>
              <w:bottom w:val="single" w:sz="4" w:space="0" w:color="auto"/>
            </w:tcBorders>
            <w:shd w:val="clear" w:color="auto" w:fill="FFFFFF"/>
            <w:vAlign w:val="center"/>
          </w:tcPr>
          <w:p w:rsidR="00D605CA" w:rsidRDefault="00FB7C26">
            <w:pPr>
              <w:pStyle w:val="a5"/>
            </w:pPr>
            <w:r>
              <w:rPr>
                <w:b/>
                <w:bCs/>
              </w:rPr>
              <w:lastRenderedPageBreak/>
              <w:t>Контакты</w:t>
            </w:r>
          </w:p>
        </w:tc>
        <w:tc>
          <w:tcPr>
            <w:tcW w:w="4800" w:type="dxa"/>
            <w:tcBorders>
              <w:top w:val="single" w:sz="4" w:space="0" w:color="auto"/>
              <w:left w:val="single" w:sz="4" w:space="0" w:color="auto"/>
              <w:bottom w:val="single" w:sz="4" w:space="0" w:color="auto"/>
              <w:right w:val="single" w:sz="4" w:space="0" w:color="auto"/>
            </w:tcBorders>
            <w:shd w:val="clear" w:color="auto" w:fill="FFFFFF"/>
            <w:vAlign w:val="center"/>
          </w:tcPr>
          <w:p w:rsidR="00D605CA" w:rsidRDefault="007B22E0">
            <w:pPr>
              <w:pStyle w:val="a5"/>
            </w:pPr>
            <w:r>
              <w:rPr>
                <w:b/>
                <w:bCs/>
              </w:rPr>
              <w:t>Николаева Л.В., т. 8 (495) 568-00-42</w:t>
            </w:r>
            <w:r w:rsidR="00FB7C26">
              <w:rPr>
                <w:b/>
                <w:bCs/>
              </w:rPr>
              <w:t xml:space="preserve"> доб. 99251</w:t>
            </w:r>
          </w:p>
          <w:p w:rsidR="00D605CA" w:rsidRDefault="009C5771">
            <w:pPr>
              <w:pStyle w:val="a5"/>
            </w:pPr>
            <w:hyperlink r:id="rId8" w:history="1">
              <w:r w:rsidR="00284064" w:rsidRPr="006862B9">
                <w:rPr>
                  <w:rStyle w:val="a6"/>
                  <w:lang w:val="en-US"/>
                </w:rPr>
                <w:t>n</w:t>
              </w:r>
              <w:r w:rsidR="00284064" w:rsidRPr="006862B9">
                <w:rPr>
                  <w:rStyle w:val="a6"/>
                </w:rPr>
                <w:t>ikolaeva</w:t>
              </w:r>
              <w:r w:rsidR="00284064" w:rsidRPr="006862B9">
                <w:rPr>
                  <w:rStyle w:val="a6"/>
                  <w:lang w:val="en-US"/>
                </w:rPr>
                <w:t>lv</w:t>
              </w:r>
              <w:r w:rsidR="00284064" w:rsidRPr="006862B9">
                <w:rPr>
                  <w:rStyle w:val="a6"/>
                </w:rPr>
                <w:t>@</w:t>
              </w:r>
              <w:r w:rsidR="00284064" w:rsidRPr="006862B9">
                <w:rPr>
                  <w:rStyle w:val="a6"/>
                  <w:lang w:val="en-US"/>
                </w:rPr>
                <w:t>rosstat.</w:t>
              </w:r>
              <w:r w:rsidR="00284064" w:rsidRPr="006862B9">
                <w:rPr>
                  <w:rStyle w:val="a6"/>
                </w:rPr>
                <w:t>g</w:t>
              </w:r>
              <w:r w:rsidR="00284064" w:rsidRPr="006862B9">
                <w:rPr>
                  <w:rStyle w:val="a6"/>
                  <w:lang w:val="en-US"/>
                </w:rPr>
                <w:t>ov</w:t>
              </w:r>
              <w:r w:rsidR="00284064" w:rsidRPr="006862B9">
                <w:rPr>
                  <w:rStyle w:val="a6"/>
                </w:rPr>
                <w:t>.ru</w:t>
              </w:r>
            </w:hyperlink>
          </w:p>
        </w:tc>
      </w:tr>
    </w:tbl>
    <w:p w:rsidR="00FB7C26" w:rsidRDefault="00FB7C26"/>
    <w:sectPr w:rsidR="00FB7C26">
      <w:pgSz w:w="11900" w:h="16840"/>
      <w:pgMar w:top="1119" w:right="820" w:bottom="1087" w:left="1643" w:header="691" w:footer="65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B4" w:rsidRDefault="00EA2BB4">
      <w:r>
        <w:separator/>
      </w:r>
    </w:p>
  </w:endnote>
  <w:endnote w:type="continuationSeparator" w:id="0">
    <w:p w:rsidR="00EA2BB4" w:rsidRDefault="00EA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B4" w:rsidRDefault="00EA2BB4"/>
  </w:footnote>
  <w:footnote w:type="continuationSeparator" w:id="0">
    <w:p w:rsidR="00EA2BB4" w:rsidRDefault="00EA2BB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605CA"/>
    <w:rsid w:val="00045261"/>
    <w:rsid w:val="001E36BA"/>
    <w:rsid w:val="00284064"/>
    <w:rsid w:val="003A656B"/>
    <w:rsid w:val="003B068E"/>
    <w:rsid w:val="004C564B"/>
    <w:rsid w:val="005516D5"/>
    <w:rsid w:val="006269F2"/>
    <w:rsid w:val="007B22E0"/>
    <w:rsid w:val="007D5224"/>
    <w:rsid w:val="008016F9"/>
    <w:rsid w:val="00893012"/>
    <w:rsid w:val="009C5771"/>
    <w:rsid w:val="00A103A8"/>
    <w:rsid w:val="00A34283"/>
    <w:rsid w:val="00B575AA"/>
    <w:rsid w:val="00D605CA"/>
    <w:rsid w:val="00D66277"/>
    <w:rsid w:val="00E27E95"/>
    <w:rsid w:val="00E942EC"/>
    <w:rsid w:val="00EA2BB4"/>
    <w:rsid w:val="00EB00C6"/>
    <w:rsid w:val="00FB7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iCs/>
      <w:smallCaps w:val="0"/>
      <w:strike w:val="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iCs/>
      <w:smallCaps w:val="0"/>
      <w:strike w:val="0"/>
      <w:u w:val="none"/>
      <w:shd w:val="clear" w:color="auto" w:fill="auto"/>
    </w:rPr>
  </w:style>
  <w:style w:type="paragraph" w:customStyle="1" w:styleId="1">
    <w:name w:val="Основной текст1"/>
    <w:basedOn w:val="a"/>
    <w:link w:val="a3"/>
    <w:rPr>
      <w:rFonts w:ascii="Times New Roman" w:eastAsia="Times New Roman" w:hAnsi="Times New Roman" w:cs="Times New Roman"/>
      <w:i/>
      <w:iCs/>
    </w:rPr>
  </w:style>
  <w:style w:type="paragraph" w:customStyle="1" w:styleId="a5">
    <w:name w:val="Другое"/>
    <w:basedOn w:val="a"/>
    <w:link w:val="a4"/>
    <w:rPr>
      <w:rFonts w:ascii="Times New Roman" w:eastAsia="Times New Roman" w:hAnsi="Times New Roman" w:cs="Times New Roman"/>
      <w:i/>
      <w:iCs/>
    </w:rPr>
  </w:style>
  <w:style w:type="character" w:styleId="a6">
    <w:name w:val="Hyperlink"/>
    <w:basedOn w:val="a0"/>
    <w:uiPriority w:val="99"/>
    <w:unhideWhenUsed/>
    <w:rsid w:val="007B22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iCs/>
      <w:smallCaps w:val="0"/>
      <w:strike w:val="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iCs/>
      <w:smallCaps w:val="0"/>
      <w:strike w:val="0"/>
      <w:u w:val="none"/>
      <w:shd w:val="clear" w:color="auto" w:fill="auto"/>
    </w:rPr>
  </w:style>
  <w:style w:type="paragraph" w:customStyle="1" w:styleId="1">
    <w:name w:val="Основной текст1"/>
    <w:basedOn w:val="a"/>
    <w:link w:val="a3"/>
    <w:rPr>
      <w:rFonts w:ascii="Times New Roman" w:eastAsia="Times New Roman" w:hAnsi="Times New Roman" w:cs="Times New Roman"/>
      <w:i/>
      <w:iCs/>
    </w:rPr>
  </w:style>
  <w:style w:type="paragraph" w:customStyle="1" w:styleId="a5">
    <w:name w:val="Другое"/>
    <w:basedOn w:val="a"/>
    <w:link w:val="a4"/>
    <w:rPr>
      <w:rFonts w:ascii="Times New Roman" w:eastAsia="Times New Roman" w:hAnsi="Times New Roman" w:cs="Times New Roman"/>
      <w:i/>
      <w:iCs/>
    </w:rPr>
  </w:style>
  <w:style w:type="character" w:styleId="a6">
    <w:name w:val="Hyperlink"/>
    <w:basedOn w:val="a0"/>
    <w:uiPriority w:val="99"/>
    <w:unhideWhenUsed/>
    <w:rsid w:val="007B2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ikolaevalv@rosstat.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FF50-F8EE-4FCC-98C2-6B03B018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1016</Words>
  <Characters>5797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Численность и состав работников, замещавших должности государственной гражданской и муниципальной службы</vt:lpstr>
    </vt:vector>
  </TitlesOfParts>
  <Company>Rosstat</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Численность и состав работников, замещавших должности государственной гражданской и муниципальной службы</dc:title>
  <dc:creator>Крушинина В.Н.</dc:creator>
  <cp:lastModifiedBy>Николаева Людмила Владимировна</cp:lastModifiedBy>
  <cp:revision>4</cp:revision>
  <cp:lastPrinted>2023-12-28T07:47:00Z</cp:lastPrinted>
  <dcterms:created xsi:type="dcterms:W3CDTF">2023-12-28T08:09:00Z</dcterms:created>
  <dcterms:modified xsi:type="dcterms:W3CDTF">2023-12-28T11:49:00Z</dcterms:modified>
</cp:coreProperties>
</file>